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4C" w:rsidRDefault="00F04A4C" w:rsidP="00F04A4C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 15. Получение эмульсии </w:t>
      </w:r>
      <w:proofErr w:type="spellStart"/>
      <w:r>
        <w:rPr>
          <w:b/>
          <w:sz w:val="28"/>
          <w:szCs w:val="28"/>
        </w:rPr>
        <w:t>диспергационным</w:t>
      </w:r>
      <w:proofErr w:type="spellEnd"/>
      <w:r>
        <w:rPr>
          <w:b/>
          <w:sz w:val="28"/>
          <w:szCs w:val="28"/>
        </w:rPr>
        <w:t xml:space="preserve"> методом по способу ручного встряхивания и определение ее устойчивости</w:t>
      </w:r>
    </w:p>
    <w:p w:rsidR="00F04A4C" w:rsidRPr="003C2D28" w:rsidRDefault="00F04A4C" w:rsidP="00F04A4C">
      <w:pPr>
        <w:tabs>
          <w:tab w:val="left" w:pos="8610"/>
        </w:tabs>
        <w:jc w:val="center"/>
        <w:rPr>
          <w:sz w:val="28"/>
          <w:szCs w:val="28"/>
        </w:rPr>
      </w:pPr>
    </w:p>
    <w:p w:rsidR="003C2D28" w:rsidRDefault="003C2D28" w:rsidP="003C2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Е.О.Богдан), Минск, 2013.</w:t>
      </w:r>
      <w:proofErr w:type="gramEnd"/>
    </w:p>
    <w:p w:rsidR="003C2D28" w:rsidRPr="003C2D28" w:rsidRDefault="003C2D28" w:rsidP="00F04A4C">
      <w:pPr>
        <w:tabs>
          <w:tab w:val="left" w:pos="8610"/>
        </w:tabs>
        <w:jc w:val="center"/>
        <w:rPr>
          <w:sz w:val="28"/>
          <w:szCs w:val="28"/>
        </w:rPr>
      </w:pP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Оборудование</w:t>
      </w:r>
      <w:r w:rsidRPr="00712DF6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080E55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>: 10 пробирок с пробками, штатив, бензол, водный раствор поверхностно-активного вещества, секундомер.</w:t>
      </w:r>
      <w:proofErr w:type="gramEnd"/>
    </w:p>
    <w:p w:rsidR="00F04A4C" w:rsidRPr="00D03C09" w:rsidRDefault="00F04A4C" w:rsidP="00F04A4C">
      <w:pPr>
        <w:tabs>
          <w:tab w:val="left" w:pos="8610"/>
        </w:tabs>
        <w:spacing w:after="120"/>
        <w:ind w:firstLine="510"/>
        <w:jc w:val="both"/>
        <w:rPr>
          <w:sz w:val="28"/>
          <w:szCs w:val="28"/>
        </w:rPr>
      </w:pPr>
    </w:p>
    <w:p w:rsidR="00F04A4C" w:rsidRDefault="00F04A4C" w:rsidP="00F04A4C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В пробирку отмерить 6 мл бензола и добавить 4 мл водного раствора ПАВ. Закрыть пробирку пробкой, приготовить эмульсию по варианту № 1 (см. таблицу), зафиксировать время приготовления.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409"/>
        <w:gridCol w:w="2694"/>
        <w:gridCol w:w="2516"/>
      </w:tblGrid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both"/>
            </w:pPr>
            <w:r w:rsidRPr="00080E55">
              <w:t>№ варианта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Количество</w:t>
            </w:r>
          </w:p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серий</w:t>
            </w:r>
          </w:p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встряхиваний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Количество</w:t>
            </w:r>
          </w:p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толчков</w:t>
            </w:r>
          </w:p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в серии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Промежуток</w:t>
            </w:r>
          </w:p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 xml:space="preserve">времени, </w:t>
            </w:r>
            <w:proofErr w:type="gramStart"/>
            <w:r w:rsidRPr="00080E55">
              <w:t>с</w:t>
            </w:r>
            <w:proofErr w:type="gramEnd"/>
            <w:r w:rsidRPr="00080E55">
              <w:t xml:space="preserve"> 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1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5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20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7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1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10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3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4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3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20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4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6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20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5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5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1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 w:rsidRPr="00080E55">
              <w:t>30</w:t>
            </w:r>
          </w:p>
        </w:tc>
      </w:tr>
      <w:tr w:rsidR="00F04A4C" w:rsidRPr="00080E55" w:rsidTr="00A10123">
        <w:tc>
          <w:tcPr>
            <w:tcW w:w="1101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F04A4C" w:rsidRPr="00080E55" w:rsidRDefault="00F04A4C" w:rsidP="00A10123">
            <w:pPr>
              <w:tabs>
                <w:tab w:val="left" w:pos="8610"/>
              </w:tabs>
              <w:jc w:val="center"/>
            </w:pPr>
            <w:r>
              <w:t>10</w:t>
            </w:r>
          </w:p>
        </w:tc>
      </w:tr>
    </w:tbl>
    <w:p w:rsidR="00F04A4C" w:rsidRDefault="00F04A4C" w:rsidP="00F04A4C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Поставить пробирку с эмульсией в штатив и определить промежуток времени, через который эмульсия начнет расслаиваться (то есть произойдет выделение 1 мл второго слоя). </w:t>
      </w: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Аналогичным образом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п. 1) приготовить эмульсии по вариантам 2–5 и определить время расслоения этих эмульсий.</w:t>
      </w: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какой из режимов позволяет получить наиболее устойчивую эмульсию.</w:t>
      </w: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5. Для наиболее устойчивой эмульсии определить тип, установить, какой фактор стабилизации обеспечивает ее устойчивость, исходя из природы используемого стабилизатора. Схематически изобразить, как происходит стабилизация капель.</w:t>
      </w: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лабораторной работы необходимо знать: методическую (раздел 2.5), экспериментальную (раздел 3.5) и теоретическую (раздел 1.2) части.</w:t>
      </w:r>
    </w:p>
    <w:p w:rsidR="00F04A4C" w:rsidRDefault="00F04A4C" w:rsidP="00F04A4C">
      <w:pPr>
        <w:tabs>
          <w:tab w:val="left" w:pos="8610"/>
        </w:tabs>
        <w:ind w:firstLine="510"/>
        <w:jc w:val="both"/>
        <w:rPr>
          <w:sz w:val="28"/>
          <w:szCs w:val="28"/>
          <w:lang w:val="en-US"/>
        </w:rPr>
      </w:pPr>
    </w:p>
    <w:p w:rsidR="00F04A4C" w:rsidRDefault="00F04A4C" w:rsidP="00F04A4C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F04A4C" w:rsidRDefault="00F04A4C" w:rsidP="00F04A4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дисперсные системы называются эмульсиями</w:t>
      </w:r>
      <w:r w:rsidRPr="00D165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Прямые и обратные эмульсии.</w:t>
      </w:r>
    </w:p>
    <w:p w:rsidR="00F04A4C" w:rsidRPr="001D7221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диспергационного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 w:rsidRPr="00D1652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он осуществляется в лабораторной работе</w:t>
      </w:r>
      <w:r w:rsidRPr="00D16521">
        <w:rPr>
          <w:rFonts w:ascii="Times New Roman" w:hAnsi="Times New Roman" w:cs="Times New Roman"/>
          <w:sz w:val="28"/>
          <w:szCs w:val="28"/>
        </w:rPr>
        <w:t>?</w:t>
      </w:r>
      <w:r w:rsidRPr="001D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4C" w:rsidRPr="001D7221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осуществляется стабилизация эмульсии в процессе ее получения</w:t>
      </w:r>
      <w:r w:rsidRPr="001D722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Какой фактор обеспечивает ее стабильность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F04A4C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последовательность выполнения работы.</w:t>
      </w:r>
    </w:p>
    <w:p w:rsidR="00F04A4C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параметр, по которому сравнивают устойчивость полученных эмульсий.</w:t>
      </w:r>
    </w:p>
    <w:p w:rsidR="00F04A4C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установить тип полученной эмульсии</w:t>
      </w:r>
      <w:r w:rsidRPr="001D7221">
        <w:rPr>
          <w:rFonts w:ascii="Times New Roman" w:hAnsi="Times New Roman" w:cs="Times New Roman"/>
          <w:sz w:val="28"/>
          <w:szCs w:val="28"/>
        </w:rPr>
        <w:t>?</w:t>
      </w:r>
    </w:p>
    <w:p w:rsidR="00F04A4C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Изобразите, каким образом располагается стабилизатор на поверхности капли эмульсии, если она является прямой.</w:t>
      </w:r>
    </w:p>
    <w:p w:rsidR="00F04A4C" w:rsidRPr="001D7221" w:rsidRDefault="00F04A4C" w:rsidP="00F04A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Изобразите, каким образом располагается стабилизатор на поверхности капли эмульсии, если эмульсия является обратной.</w:t>
      </w:r>
    </w:p>
    <w:p w:rsidR="00F04A4C" w:rsidRDefault="00F04A4C" w:rsidP="00F04A4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4054"/>
    <w:multiLevelType w:val="hybridMultilevel"/>
    <w:tmpl w:val="82488308"/>
    <w:lvl w:ilvl="0" w:tplc="78862D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A4C"/>
    <w:rsid w:val="003C2D28"/>
    <w:rsid w:val="008522E2"/>
    <w:rsid w:val="00BD0919"/>
    <w:rsid w:val="00F0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A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2014-07-01T11:24:00Z</dcterms:created>
  <dcterms:modified xsi:type="dcterms:W3CDTF">2014-07-01T11:54:00Z</dcterms:modified>
</cp:coreProperties>
</file>