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88" w:rsidRPr="00A33388" w:rsidRDefault="00A33388" w:rsidP="00A333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b/>
          <w:sz w:val="28"/>
          <w:szCs w:val="28"/>
        </w:rPr>
        <w:t>Лекция 5.</w:t>
      </w:r>
    </w:p>
    <w:p w:rsidR="00A33388" w:rsidRPr="00A33388" w:rsidRDefault="00A33388" w:rsidP="00A333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b/>
          <w:sz w:val="28"/>
          <w:szCs w:val="28"/>
        </w:rPr>
        <w:t>Тема: «Тактика и стратегия деятельности предприятий лесного комплекса в рыночной экономике»</w:t>
      </w:r>
    </w:p>
    <w:p w:rsidR="00A33388" w:rsidRPr="00A33388" w:rsidRDefault="00A33388" w:rsidP="00A333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3388" w:rsidRPr="00A33388" w:rsidRDefault="00A33388" w:rsidP="00A33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b/>
          <w:sz w:val="28"/>
          <w:szCs w:val="28"/>
        </w:rPr>
        <w:t>1.Лесохозяйственное предприятие – основа и первичное звено лесного хозяйства.</w:t>
      </w:r>
    </w:p>
    <w:p w:rsidR="00A33388" w:rsidRPr="00A33388" w:rsidRDefault="00A33388" w:rsidP="00A33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b/>
          <w:sz w:val="28"/>
          <w:szCs w:val="28"/>
        </w:rPr>
        <w:t>2.Классификация и типы предприятий. Система участия.</w:t>
      </w:r>
    </w:p>
    <w:p w:rsidR="00A33388" w:rsidRPr="00A33388" w:rsidRDefault="00A33388" w:rsidP="00A33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b/>
          <w:sz w:val="28"/>
          <w:szCs w:val="28"/>
        </w:rPr>
        <w:t>3.Жизненный цикл предприятия. Основные блоки факторов эффективной работы предприятия в рыночной экономике.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b/>
          <w:sz w:val="28"/>
          <w:szCs w:val="28"/>
        </w:rPr>
        <w:t>Вопрос 1.</w:t>
      </w:r>
      <w:r w:rsidRPr="00A33388">
        <w:rPr>
          <w:rFonts w:ascii="Times New Roman" w:eastAsia="Times New Roman" w:hAnsi="Times New Roman" w:cs="Times New Roman"/>
          <w:sz w:val="28"/>
          <w:szCs w:val="28"/>
        </w:rPr>
        <w:t xml:space="preserve"> Основной организационно-правовой формой производственно-хозяйственной деятельности в лесном хозяйстве является лесохозяйственное предприятие.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b/>
          <w:sz w:val="28"/>
          <w:szCs w:val="28"/>
        </w:rPr>
        <w:t>Предприятие</w:t>
      </w:r>
      <w:r w:rsidRPr="00A33388">
        <w:rPr>
          <w:rFonts w:ascii="Times New Roman" w:eastAsia="Times New Roman" w:hAnsi="Times New Roman" w:cs="Times New Roman"/>
          <w:sz w:val="28"/>
          <w:szCs w:val="28"/>
        </w:rPr>
        <w:t xml:space="preserve"> – самостоятельный хозяйствующий субъект, обладающий правами юридического лица, который на основе использования трудовым коллективом имущества производит и реализует продукцию, выполняет работы, оказывает услуги. Хозяйствующий субъект может получить статус предприятия только при наличии определенных признаков: он должен обладать правом юридического лица, иметь трудовой коллектив, самостоятельно вести производственно-хозяйственную деятельность, использовать для этих целей имущество. В его структуре не должно быть других хозяйствующих субъектов с правом юридического лица.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b/>
          <w:sz w:val="28"/>
          <w:szCs w:val="28"/>
        </w:rPr>
        <w:t>Лесохозяйственное предприятие</w:t>
      </w:r>
      <w:r w:rsidRPr="00A33388">
        <w:rPr>
          <w:rFonts w:ascii="Times New Roman" w:eastAsia="Times New Roman" w:hAnsi="Times New Roman" w:cs="Times New Roman"/>
          <w:sz w:val="28"/>
          <w:szCs w:val="28"/>
        </w:rPr>
        <w:t xml:space="preserve"> – основная производственно-хозяйственная единица и первичное звено лесного хозяйства. Оно представляет собой коллектив людей, объединенных общими целями и задачами, связанных между собой производственными отношениями по поводу производства и реализации продукции или услуг.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Характерные его черты – устойчивость функционирования, производственно-техническое и организационно-экономическое единство.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pacing w:val="-12"/>
          <w:sz w:val="28"/>
          <w:szCs w:val="28"/>
        </w:rPr>
        <w:t>Устойчивость предприятия обусловливается наличием определенных параметров и признаков, которые характеризуют его как хозяйствующий субъект постоянного действия, созданный для решения конкретных задач. Производственно-техническое единство заключается в общности выпускаемой продукции или оказываемых услуг, в использовании в производстве определенных технологий и оборудования. Организационно-экономическое единство предприятия предполагает наличие на нем относительно стабильного трудового коллектива, организационной структуры и аппарата управления, системы учета, отчетности и оценки результатов хозяйственной деятельности.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pacing w:val="-12"/>
          <w:sz w:val="28"/>
          <w:szCs w:val="28"/>
        </w:rPr>
        <w:t>Деятельность предприятий регламентируется Законом Республики Беларусь «О предприятиях», Гражданским Кодексом и другими нормативными документами.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 xml:space="preserve">Все предприятия, независимо от формы собственности и хозяйствования, должны работать на принципах хозяйственного (коммерческого) расчета. Их главная задача – получение достаточного объема прибыли для осуществления не только простого, но и расширенного воспроизводства. Учредителем предприятия может быть государство в лице </w:t>
      </w:r>
      <w:r w:rsidRPr="00A33388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соответствующих органов, трудовой коллектив, юридическое или физическое лицо, объединение юридических или физических лиц, иностранные юридические и физические лица.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Организационно-производственная структура лесопромышленного комплекса представлена на схеме: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4"/>
          <w:szCs w:val="24"/>
        </w:rPr>
        <w:pict>
          <v:group id="_x0000_s1078" editas="canvas" style="position:absolute;margin-left:-54pt;margin-top:6.2pt;width:7in;height:576.9pt;z-index:251660288;mso-position-horizontal-relative:char;mso-position-vertical-relative:line" coordorigin="1434,5013" coordsize="7906,893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1434;top:5013;width:7906;height:8932" o:preferrelative="f">
              <v:fill o:detectmouseclick="t"/>
              <v:path o:extrusionok="t" o:connecttype="none"/>
            </v:shape>
            <v:rect id="_x0000_s1080" style="position:absolute;left:4540;top:5584;width:3529;height:697">
              <v:textbox style="mso-next-textbox:#_x0000_s1080">
                <w:txbxContent>
                  <w:p w:rsidR="00A33388" w:rsidRDefault="00A33388" w:rsidP="00A3338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ЛЕСОПРОМЫШЛЕННЫЙ </w:t>
                    </w:r>
                  </w:p>
                  <w:p w:rsidR="00A33388" w:rsidRDefault="00A33388" w:rsidP="00A3338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КО</w:t>
                    </w:r>
                    <w:r>
                      <w:rPr>
                        <w:b/>
                      </w:rPr>
                      <w:t>М</w:t>
                    </w:r>
                    <w:r>
                      <w:rPr>
                        <w:b/>
                      </w:rPr>
                      <w:t>ПЛЕКС</w:t>
                    </w:r>
                  </w:p>
                </w:txbxContent>
              </v:textbox>
            </v:rect>
            <v:rect id="_x0000_s1081" style="position:absolute;left:2422;top:6699;width:1977;height:557">
              <v:textbox style="mso-next-textbox:#_x0000_s1081">
                <w:txbxContent>
                  <w:p w:rsidR="00A33388" w:rsidRDefault="00A33388" w:rsidP="00A33388">
                    <w:pPr>
                      <w:jc w:val="center"/>
                    </w:pPr>
                    <w:r>
                      <w:t xml:space="preserve">ЛЕСНОЕ </w:t>
                    </w:r>
                  </w:p>
                  <w:p w:rsidR="00A33388" w:rsidRDefault="00A33388" w:rsidP="00A33388">
                    <w:pPr>
                      <w:jc w:val="center"/>
                    </w:pPr>
                    <w:r>
                      <w:t>ХОЗЯЙСТВО</w:t>
                    </w:r>
                  </w:p>
                </w:txbxContent>
              </v:textbox>
            </v:rect>
            <v:rect id="_x0000_s1082" style="position:absolute;left:2422;top:8092;width:1977;height:836">
              <v:textbox style="mso-next-textbox:#_x0000_s1082">
                <w:txbxContent>
                  <w:p w:rsidR="00A33388" w:rsidRDefault="00A33388" w:rsidP="00A33388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Лесохозяйственное производство</w:t>
                    </w:r>
                  </w:p>
                </w:txbxContent>
              </v:textbox>
            </v:rect>
            <v:rect id="_x0000_s1083" style="position:absolute;left:2422;top:9486;width:1977;height:836">
              <v:textbox style="mso-next-textbox:#_x0000_s1083">
                <w:txbxContent>
                  <w:p w:rsidR="00A33388" w:rsidRDefault="00A33388" w:rsidP="00A33388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Лесоохотничье</w:t>
                    </w:r>
                  </w:p>
                  <w:p w:rsidR="00A33388" w:rsidRDefault="00A33388" w:rsidP="00A33388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хозяйство</w:t>
                    </w:r>
                  </w:p>
                </w:txbxContent>
              </v:textbox>
            </v:rect>
            <v:rect id="_x0000_s1084" style="position:absolute;left:2422;top:10879;width:1977;height:836">
              <v:textbox style="mso-next-textbox:#_x0000_s1084">
                <w:txbxContent>
                  <w:p w:rsidR="00A33388" w:rsidRDefault="00A33388" w:rsidP="00A33388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 xml:space="preserve">Побочное </w:t>
                    </w:r>
                  </w:p>
                  <w:p w:rsidR="00A33388" w:rsidRDefault="00A33388" w:rsidP="00A33388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лесопользование</w:t>
                    </w:r>
                  </w:p>
                </w:txbxContent>
              </v:textbox>
            </v:rect>
            <v:rect id="_x0000_s1085" style="position:absolute;left:4822;top:6559;width:1694;height:837">
              <v:textbox style="mso-next-textbox:#_x0000_s1085">
                <w:txbxContent>
                  <w:p w:rsidR="00A33388" w:rsidRDefault="00A33388" w:rsidP="00A33388">
                    <w:pPr>
                      <w:jc w:val="center"/>
                    </w:pPr>
                    <w:r>
                      <w:t>Лесозаготов</w:t>
                    </w:r>
                    <w:r>
                      <w:t>и</w:t>
                    </w:r>
                    <w:r>
                      <w:t>тельная промы</w:t>
                    </w:r>
                    <w:r>
                      <w:t>ш</w:t>
                    </w:r>
                    <w:r>
                      <w:t>ленность</w:t>
                    </w:r>
                  </w:p>
                </w:txbxContent>
              </v:textbox>
            </v:rect>
            <v:rect id="_x0000_s1086" style="position:absolute;left:4822;top:7674;width:1694;height:558">
              <v:textbox style="mso-next-textbox:#_x0000_s1086">
                <w:txbxContent>
                  <w:p w:rsidR="00A33388" w:rsidRDefault="00A33388" w:rsidP="00A33388">
                    <w:pPr>
                      <w:jc w:val="center"/>
                    </w:pPr>
                    <w:r>
                      <w:t>Подсочное</w:t>
                    </w:r>
                  </w:p>
                  <w:p w:rsidR="00A33388" w:rsidRDefault="00A33388" w:rsidP="00A33388">
                    <w:pPr>
                      <w:jc w:val="center"/>
                    </w:pPr>
                    <w:r>
                      <w:t xml:space="preserve"> производство</w:t>
                    </w:r>
                  </w:p>
                </w:txbxContent>
              </v:textbox>
            </v:rect>
            <v:rect id="_x0000_s1087" style="position:absolute;left:4822;top:8510;width:1694;height:976">
              <v:textbox style="mso-next-textbox:#_x0000_s1087">
                <w:txbxContent>
                  <w:p w:rsidR="00A33388" w:rsidRDefault="00A33388" w:rsidP="00A33388">
                    <w:pPr>
                      <w:jc w:val="center"/>
                    </w:pPr>
                    <w:r>
                      <w:t>Лесопильно-деревообрабат</w:t>
                    </w:r>
                    <w:r>
                      <w:t>ы</w:t>
                    </w:r>
                    <w:r>
                      <w:t xml:space="preserve">вающее </w:t>
                    </w:r>
                  </w:p>
                  <w:p w:rsidR="00A33388" w:rsidRDefault="00A33388" w:rsidP="00A33388">
                    <w:pPr>
                      <w:jc w:val="center"/>
                    </w:pPr>
                    <w:r>
                      <w:t>производство</w:t>
                    </w:r>
                  </w:p>
                </w:txbxContent>
              </v:textbox>
            </v:rect>
            <v:rect id="_x0000_s1088" style="position:absolute;left:4822;top:9765;width:1694;height:696">
              <v:textbox style="mso-next-textbox:#_x0000_s1088">
                <w:txbxContent>
                  <w:p w:rsidR="00A33388" w:rsidRDefault="00A33388" w:rsidP="00A33388">
                    <w:pPr>
                      <w:jc w:val="center"/>
                    </w:pPr>
                    <w:r>
                      <w:t xml:space="preserve">Мебельная </w:t>
                    </w:r>
                  </w:p>
                  <w:p w:rsidR="00A33388" w:rsidRDefault="00A33388" w:rsidP="00A33388">
                    <w:pPr>
                      <w:jc w:val="center"/>
                    </w:pPr>
                    <w:r>
                      <w:t>промышленность</w:t>
                    </w:r>
                  </w:p>
                </w:txbxContent>
              </v:textbox>
            </v:rect>
            <v:rect id="_x0000_s1089" style="position:absolute;left:4822;top:10740;width:1694;height:557">
              <v:textbox style="mso-next-textbox:#_x0000_s1089">
                <w:txbxContent>
                  <w:p w:rsidR="00A33388" w:rsidRDefault="00A33388" w:rsidP="00A33388">
                    <w:pPr>
                      <w:jc w:val="center"/>
                    </w:pPr>
                    <w:r>
                      <w:t>Производство фанеры</w:t>
                    </w:r>
                  </w:p>
                </w:txbxContent>
              </v:textbox>
            </v:rect>
            <v:rect id="_x0000_s1090" style="position:absolute;left:4822;top:11576;width:1694;height:557">
              <v:textbox style="mso-next-textbox:#_x0000_s1090">
                <w:txbxContent>
                  <w:p w:rsidR="00A33388" w:rsidRDefault="00A33388" w:rsidP="00A33388">
                    <w:pPr>
                      <w:jc w:val="center"/>
                    </w:pPr>
                    <w:r>
                      <w:t>Производство спичек</w:t>
                    </w:r>
                  </w:p>
                </w:txbxContent>
              </v:textbox>
            </v:rect>
            <v:rect id="_x0000_s1091" style="position:absolute;left:4822;top:12412;width:1694;height:836">
              <v:textbox style="mso-next-textbox:#_x0000_s1091">
                <w:txbxContent>
                  <w:p w:rsidR="00A33388" w:rsidRDefault="00A33388" w:rsidP="00A33388">
                    <w:pPr>
                      <w:jc w:val="center"/>
                    </w:pPr>
                    <w:r>
                      <w:t>Производство плит на древе</w:t>
                    </w:r>
                    <w:r>
                      <w:t>с</w:t>
                    </w:r>
                    <w:r>
                      <w:t>ной основе</w:t>
                    </w:r>
                  </w:p>
                </w:txbxContent>
              </v:textbox>
            </v:rect>
            <v:rect id="_x0000_s1092" style="position:absolute;left:7081;top:6699;width:2259;height:1254">
              <v:textbox style="mso-next-textbox:#_x0000_s1092">
                <w:txbxContent>
                  <w:p w:rsidR="00A33388" w:rsidRDefault="00A33388" w:rsidP="00A33388">
                    <w:r>
                      <w:t>ЛЕСНАЯ, ДЕРЕВОО</w:t>
                    </w:r>
                    <w:r>
                      <w:t>Б</w:t>
                    </w:r>
                    <w:r>
                      <w:t>РАБАТЫВАЮЩАЯ И ЦЕЛЛЮЛОЗНО-БУМАЖНАЯ ПР</w:t>
                    </w:r>
                    <w:r>
                      <w:t>О</w:t>
                    </w:r>
                    <w:r>
                      <w:t>МЫШЛЕННОСТЬ</w:t>
                    </w:r>
                  </w:p>
                </w:txbxContent>
              </v:textbox>
            </v:rect>
            <v:rect id="_x0000_s1093" style="position:absolute;left:7928;top:8510;width:1412;height:1115">
              <v:textbox style="mso-next-textbox:#_x0000_s1093">
                <w:txbxContent>
                  <w:p w:rsidR="00A33388" w:rsidRDefault="00A33388" w:rsidP="00A33388">
                    <w:pPr>
                      <w:jc w:val="center"/>
                    </w:pPr>
                    <w:r>
                      <w:t>Деревообр</w:t>
                    </w:r>
                    <w:r>
                      <w:t>а</w:t>
                    </w:r>
                    <w:r>
                      <w:t>батывающая промышле</w:t>
                    </w:r>
                    <w:r>
                      <w:t>н</w:t>
                    </w:r>
                    <w:r>
                      <w:t>ность</w:t>
                    </w:r>
                  </w:p>
                </w:txbxContent>
              </v:textbox>
            </v:rect>
            <v:rect id="_x0000_s1094" style="position:absolute;left:7928;top:10043;width:1412;height:1115">
              <v:textbox style="mso-next-textbox:#_x0000_s1094">
                <w:txbxContent>
                  <w:p w:rsidR="00A33388" w:rsidRDefault="00A33388" w:rsidP="00A33388">
                    <w:pPr>
                      <w:jc w:val="center"/>
                    </w:pPr>
                    <w:r>
                      <w:t>Целлюлозно-бумажная промышле</w:t>
                    </w:r>
                    <w:r>
                      <w:t>н</w:t>
                    </w:r>
                    <w:r>
                      <w:t>ность</w:t>
                    </w:r>
                  </w:p>
                </w:txbxContent>
              </v:textbox>
            </v:rect>
            <v:rect id="_x0000_s1095" style="position:absolute;left:7928;top:11437;width:1412;height:975">
              <v:textbox style="mso-next-textbox:#_x0000_s1095">
                <w:txbxContent>
                  <w:p w:rsidR="00A33388" w:rsidRDefault="00A33388" w:rsidP="00A33388">
                    <w:pPr>
                      <w:jc w:val="center"/>
                    </w:pPr>
                    <w:r>
                      <w:t>Лесохимич</w:t>
                    </w:r>
                    <w:r>
                      <w:t>е</w:t>
                    </w:r>
                    <w:r>
                      <w:t>ская промы</w:t>
                    </w:r>
                    <w:r>
                      <w:t>ш</w:t>
                    </w:r>
                    <w:r>
                      <w:t>ленность</w:t>
                    </w:r>
                  </w:p>
                </w:txbxContent>
              </v:textbox>
            </v:rect>
            <v:line id="_x0000_s1096" style="position:absolute;flip:x" from="3410,5863" to="4540,5863"/>
            <v:line id="_x0000_s1097" style="position:absolute" from="3410,5863" to="3410,6699"/>
            <v:line id="_x0000_s1098" style="position:absolute" from="8069,6002" to="8634,6002"/>
            <v:line id="_x0000_s1099" style="position:absolute" from="8634,6002" to="8634,6699"/>
            <v:line id="_x0000_s1100" style="position:absolute;flip:x" from="2281,6978" to="2422,6978"/>
            <v:line id="_x0000_s1101" style="position:absolute" from="2281,11297" to="2422,11297"/>
            <v:line id="_x0000_s1102" style="position:absolute" from="2281,9904" to="2422,9904"/>
            <v:line id="_x0000_s1103" style="position:absolute" from="4399,6978" to="4540,6978"/>
            <v:line id="_x0000_s1104" style="position:absolute" from="4540,6978" to="4540,8928"/>
            <v:line id="_x0000_s1105" style="position:absolute" from="4540,8928" to="4822,8928"/>
            <v:line id="_x0000_s1106" style="position:absolute" from="4540,7953" to="4822,7953"/>
            <v:line id="_x0000_s1107" style="position:absolute" from="4540,7117" to="4822,7117"/>
            <v:line id="_x0000_s1108" style="position:absolute" from="9340,7256" to="9481,7256"/>
            <v:line id="_x0000_s1109" style="position:absolute;flip:x" from="9340,11994" to="9481,11994"/>
            <v:line id="_x0000_s1110" style="position:absolute" from="9340,10461" to="9481,10461"/>
            <v:line id="_x0000_s1111" style="position:absolute" from="9340,8928" to="9481,8928"/>
            <v:line id="_x0000_s1112" style="position:absolute;flip:x" from="6799,7256" to="7081,7256"/>
            <v:line id="_x0000_s1113" style="position:absolute" from="6799,6978" to="6799,7953"/>
            <v:line id="_x0000_s1114" style="position:absolute" from="6516,6978" to="6799,6978"/>
            <v:line id="_x0000_s1115" style="position:absolute" from="6516,7953" to="6799,7953"/>
            <v:line id="_x0000_s1116" style="position:absolute" from="6516,8928" to="6940,8928"/>
            <v:line id="_x0000_s1117" style="position:absolute" from="6940,8928" to="6940,12970"/>
            <v:line id="_x0000_s1118" style="position:absolute" from="6516,12970" to="6940,12970"/>
            <v:line id="_x0000_s1119" style="position:absolute" from="6516,11855" to="6940,11855"/>
            <v:line id="_x0000_s1120" style="position:absolute" from="6516,11019" to="6940,11019"/>
            <v:line id="_x0000_s1121" style="position:absolute" from="6516,10043" to="7363,10043"/>
            <v:line id="_x0000_s1122" style="position:absolute" from="7363,9068" to="7363,10043"/>
            <v:line id="_x0000_s1123" style="position:absolute" from="7363,9068" to="7928,9068"/>
            <v:rect id="_x0000_s1124" style="position:absolute;left:2422;top:12133;width:1977;height:558">
              <v:textbox style="mso-next-textbox:#_x0000_s1124">
                <w:txbxContent>
                  <w:p w:rsidR="00A33388" w:rsidRDefault="00A33388" w:rsidP="00A33388">
                    <w:pPr>
                      <w:jc w:val="center"/>
                    </w:pPr>
                    <w:r>
                      <w:t>Экологический</w:t>
                    </w:r>
                  </w:p>
                  <w:p w:rsidR="00A33388" w:rsidRDefault="00A33388" w:rsidP="00A33388">
                    <w:pPr>
                      <w:jc w:val="center"/>
                    </w:pPr>
                    <w:r>
                      <w:t>туризм</w:t>
                    </w:r>
                  </w:p>
                </w:txbxContent>
              </v:textbox>
            </v:rect>
            <v:line id="_x0000_s1125" style="position:absolute;flip:x" from="2281,11297" to="2281,12273"/>
            <v:line id="_x0000_s1126" style="position:absolute" from="2281,12273" to="2422,12273"/>
          </v:group>
        </w:pict>
      </w:r>
    </w:p>
    <w:p w:rsidR="00A33388" w:rsidRPr="00A33388" w:rsidRDefault="00A33388" w:rsidP="00A333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4"/>
          <w:szCs w:val="24"/>
        </w:rPr>
        <w:pict>
          <v:line id="_x0000_s1129" style="position:absolute;left:0;text-align:left;z-index:251663360" from="495.3pt,135pt" to="495.3pt,441pt"/>
        </w:pict>
      </w:r>
      <w:r w:rsidRPr="00A33388">
        <w:rPr>
          <w:rFonts w:ascii="Times New Roman" w:eastAsia="Times New Roman" w:hAnsi="Times New Roman" w:cs="Times New Roman"/>
          <w:sz w:val="24"/>
          <w:szCs w:val="24"/>
        </w:rPr>
        <w:pict>
          <v:line id="_x0000_s1128" style="position:absolute;left:0;text-align:left;z-index:251662336" from="36.3pt,207pt" to="45.3pt,207pt"/>
        </w:pict>
      </w:r>
      <w:r w:rsidRPr="00A33388">
        <w:rPr>
          <w:rFonts w:ascii="Times New Roman" w:eastAsia="Times New Roman" w:hAnsi="Times New Roman" w:cs="Times New Roman"/>
          <w:sz w:val="24"/>
          <w:szCs w:val="24"/>
        </w:rPr>
        <w:pict>
          <v:line id="_x0000_s1127" style="position:absolute;left:0;text-align:left;z-index:251661312" from="36.3pt,117pt" to="36.3pt,396pt"/>
        </w:pict>
      </w:r>
      <w:r w:rsidRPr="00A33388">
        <w:rPr>
          <w:rFonts w:ascii="Times New Roman" w:eastAsia="Times New Roman" w:hAnsi="Times New Roman" w:cs="Times New Roman"/>
          <w:sz w:val="28"/>
          <w:szCs w:val="28"/>
        </w:rPr>
        <w:pict>
          <v:shape id="_x0000_i1025" type="#_x0000_t75" style="width:459.1pt;height:566.65pt">
            <v:imagedata croptop="-65520f" cropbottom="65520f"/>
          </v:shape>
        </w:pic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экономическую категорию «лесное хозяйство Беларуси» сегодня трактуют по-разному. Одни называют лесным сектором, вторые – лесным комплексом, вкладывая в это разные понятия. Современный этап развития, который характеризуется соединением в единой </w:t>
      </w:r>
      <w:r w:rsidRPr="00A33388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технологической цепочке «производство сырья – переработка – реализация готовой продукции» определяет объективную потребность трансформировать вышеуказанные названия в лесопромышленный комплекс. Данное название отражает тенденции и закономерности, которые складываются на предприятиях лесного комплекса. В настоящее время практически каждый лесхоз имеет в своем составе деревообрабатывающий цех (цеха), который работает, главным образом, на переработке сырья с рубок ухода и удовлетворяет разнообразные потребности населения в продуктах переработки древесины, т.е. идет постепенное превращение лесохозяйственных предприятий в лесопромышленные. Именно не лесохозяйственные, а лесопромышленные предприятия должны быть основой лесопромышленного комплекса Беларуси.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Устойчивость лесопользования заключается не только в формировании оптимальной породной и возрастной структуры леса, но в значительной мере в способности данного хозяйственного формирования наладить собственную переработку если не всего, то значительной части выращиваемого древесного сырья. Такие шаги предпринимаются для того, чтобы  торговать лесом не в виде балансов, а широким ассортиментом продуктов его переработки, что позволяет постоянно получать значительную добавленную стоимость на каждом кубометре заготовленной древесины. В системе с другими факторами достичь этого возможно через рациональное сочетание процессов вертикальной кооперации лесохозяйственной, лесозаготовительной и деревообрабатывающей видов деятельности.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В структуре поставок продукции на внутренний и внешний рынки по Кличевскому лесхозу на период проведения исследования удельный вес продуктов переработки древесины от общих объемов реализации в 2005 г. составил 67,5 %, в 2006 г. – 59,5 %, а в 2007 г. – 42,8 %. Такое снижение объясняется резким повышением стоимости необработанной древесины в вязи с переходом на свободное ценообразование (биржевую торговлю).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Однако, как показывает передовой отечественный и зарубежный опыт, рост цен на сырье имеет свои пределы, которые ограничиваются, с одной стороны, платежеспособным спросом населения, предприятий, государств, а с другой –  недостаточностью или дефицитом сырьевых ресурсов. Не следует забывать, что продавать всегда легче и быстрее, чем обеспечить требуемую возрастную и породную структуру. В Кличевском лесхозе это хорошо понимают, поэтому с одновременным наращиванием объемов продаж круглых лесоматериалов интенсивно осуществляется процесс увеличения глубины механической переработки древесного сырья, особенно с рубок ухода. В 2007 г. было переработано лишь 3 тыс. куб. м крупной древесины, что на 1,9 тыс. куб. м меньше, чем в 2006 г., средней – 15,2 тыс. куб. м, или меньше на 4,5 тыс. куб. м, а мелкотоварной – 9,7 тыс. куб. м. Благодаря техническому совершенствованию в 2007 г. было переработано 1,2 тыс. куб. м технического сырья. Это позволило сохранить достигнутые объемы выручки от реализации продуктов переработки.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настоящее время их ассортимент достаточно широк. Например, в 2007 г. было произведено: 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Пиломатериалов – 5,8 тыс. куб. м,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 xml:space="preserve">В том числе обрезных – 4,3 тыс. куб. м, 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 xml:space="preserve">Из них экспортных – 2,3 тыс. куб. м, 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 xml:space="preserve">Необрезных – 1,5 тыс. куб. м, 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Пиломатериалов сухих – 4,7 тыс. куб. м,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 xml:space="preserve">Доски пола – 315 куб. м, 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Доски для обшивки – 139 куб. м,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Заготовок оцилиндрованных – 4,098 куб. м,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Рельбордов – 132 куб. м,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Егенцаунов – 120 куб. м,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Блоков мощения – 972 куб. м и др.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Для переработки древесины лесхоз имеет 35 деревообрабатывающих и 9 станков по подготовке пилонажного материала, 2 лесопильных цеха на базе лесопильных рам Р-63, оцилиндровочный цех, 3 линии на базе брусовочных станков, линию по подготовке скручивающейся дорожки, линию по производству егенцауна, 2 линии по изготовлению блоков мощения, линию по производству заборов плотных. В 2005 г. введен в эксплуатацию сушильный комплекс, работающий на опилках, стружках, щепе, стоимостью более 1 млрд. руб. За 2007 г. благодаря его использованию высушено 4,7 тыс. куб. м продукции, что и явилось одним из существенных источников получения большей добавленной стоимости 1 куб. м сырья.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Серьезное внимание уделяется повышению удельного веса выхода готовой продукции из 1 куб. м древесины. Так, для пиломатериалов обрезных экспортных он составлял 0,47 куб. м, для заготовок оцилиндрованных – 0,5 куб. м. Налажена переработка горбыля, в результате чего выход готовой продукции увеличился на 15 %. Это позволило получить ценный материал для производства малораспространенных видов продукции, цена на которые достаточно высокая. Например, блоки мощения – 250 евро за 1 куб. м, заборы плотные сложные – 220 евро за 1 куб. м.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Специалисты лесхоза руководствуются тем, что повышение цен на сырье всегда несет кратковременный эффект и большие риски и, наоборот, переработка древесины, ее постоянное углубление и совершенствование, расширение ассортимента, улучшение потребительских свойств продуктов переработки сопровождается и будет постоянно сопровождаться ростом экономической эффективности использования лесосырьевых ресурсов.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 xml:space="preserve">Следует учесть, что из древесины путем ее глубокой переработки получают более 20 тыс. различных продуктов. Потребительские свойства любого из них можно совершенствовать через осуществление химической, химико-механической переработки, а стало быть – получать все большую добавленную стоимость из единицы сырья. К ее увеличению постепенно стремятся в Кличевском лесхозе. С этой целью заканчиваются технико-технологическое перевооружение и реконструкция лесопильного и деревообрабатывающих цехов с установкой линии продольного сращивания </w:t>
      </w:r>
      <w:r w:rsidRPr="00A33388">
        <w:rPr>
          <w:rFonts w:ascii="Times New Roman" w:eastAsia="Times New Roman" w:hAnsi="Times New Roman" w:cs="Times New Roman"/>
          <w:sz w:val="28"/>
          <w:szCs w:val="28"/>
        </w:rPr>
        <w:lastRenderedPageBreak/>
        <w:t>древесины и склеивания бруса для освоения таких новых видов продукции, как доска для стен и для пола клееная, оконный брус для евроокон.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Техническое перевооружение производства позволит ежегодно увеличивать выпуск пиломатериалов в среднем на 15 %, изготавливать новые виды клееных изделий при постоянном сокращении аналогичной продукции из цельной древесины. Объем производства товаров деревообработки вырастет с 15,8 до 26,2 тыс. куб. м, что может послужить хорошей основой для перехода лесхоза на самофинансирование.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pacing w:val="-20"/>
          <w:sz w:val="28"/>
          <w:szCs w:val="28"/>
        </w:rPr>
        <w:t>Организация эффективной собственной переработки Кличевского и других лесхозов чрезвычайно перспективна. Поэтому курс на постепенное отделение цехов от лесхозов неправомерен, необходимо их ускоренное технико-технологическое перевооружение. Проблема состоит в том, что осуществить глубокую, а тем более химическую и химико-механическую переработку всего древесного сырья даже при большом желании хозяйства не смогут. Выход – в межотраслевой кооперации лесхозов с предприятиями концерна «Беллесбумпром» и другими субъектами лесопромышленного комплекса.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pacing w:val="-14"/>
          <w:sz w:val="28"/>
          <w:szCs w:val="28"/>
        </w:rPr>
        <w:t>В настоящее время ни одно развитое государство, имеющее лесные ресурсы, не реализует древесину в необработанном виде, а преимущественно поставляет широкий ассортимент продукции. Добавленная стоимость на 1 куб. м переработанного лесосырья по концерну «Беллесбумпром» составляет в среднем: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По пиломатериалам – 59,3 тыс. руб.,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Фанеры – 151,9 тыс. руб.,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ДСП – 94,1 тыс. руб.,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ДВП – 129,3 тыс. руб.,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Бумаги – 168,8 тыс. руб.,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Мебели – 90,6 тыс. руб.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Вызывает недоумение, почему до настоящего времени при очевидной выгоде реализации готовых продуктов продолжается экспорт больших объемов деловой древесины.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В Беларуси имеется достаточно примеров, подтверждающих высокую эффективность глубокой переработки. ЗАО «Пинскдрев» производит 16 % республиканских объемов бытовой мебели, а также фанеру, гнутоклееные детали, ДСП, строганый шпон и другую востребованную на рынке продукцию – всего более 1,5 тыс. наименований. В составе данного объединения – более 30 предприятий и филиалов, по масштабам ему нет равных не только в республике, но и в странах СНГ. Объем произведенной продукции в сопоставимых ценах в 2007 г. исчислялся 309 млрд. руб. и в сравнении с 1990 г. увеличился в 10 раз. Чем не предприятие-интегратор для десятков лесхозов? С объединением усилий эффективность работы, как поставщиков, так и переработчиков только возрастает.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b/>
          <w:sz w:val="28"/>
          <w:szCs w:val="28"/>
        </w:rPr>
        <w:t>Вопрос 2.</w:t>
      </w:r>
      <w:r w:rsidRPr="00A33388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в рыночной экономике можно классифицировать по следующим основным признакам. В Беларуси преобладают две формы собственности: государственная и частная, что определяет наличие предприятий с государственной и частной формой собственности.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формам хозяйствования предприятия могут быть в форме акционерных обществ (открытые и закрытые), обществ с ограниченной и дополнительной ответственностью, унитарных предприятий, полных и коммандитных товариществ. 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По размерам предприятия группируются как крупные, средние и мелкие. Отнесение предприятий к данным группам регулируется нормативными актами республики. Применительно к лесопромышленному комплексу к крупным предприятиям (организациям) можно отнести областные производственные лесохозяйственные объединения, к средним – государственные лесохозяйственные учреждения (лесхозы), к мелким – лесничества, мастерские участки, обходы.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pacing w:val="-14"/>
          <w:sz w:val="28"/>
          <w:szCs w:val="28"/>
        </w:rPr>
        <w:t>По участию иностранного капитала предприятия подразделяются на совместные, зарубежные и иностранные. Совместное предприятие расположено на территории страны, имеет в уставном капитале долю, принадлежащую иностранным инвесторам. Зарубежное предприятие представлено национальным капиталом, вывезенным из государства в качестве вклада в уставный капитал предприятия, зарегистрированного в другой стране. Иностранное предприятие имеет 100 % уставного капитала, принадлежащего юридическим или физическим лицам других государств.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По отраслевому признаку предприятия относятся к сфере материального производства – промышленность, лесное хозяйство, строительство, сельское хозяйство, связь, транспорт и т.д. и нематериального производства – образование, наука, здравоохранение, культура и т.д.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По видам объединений предприятия могут входить в производственные, республиканские, региональные, национальные, транснациональные и др. компании, концерны, консорциумы, холдинги.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pacing w:val="-10"/>
          <w:sz w:val="28"/>
          <w:szCs w:val="28"/>
        </w:rPr>
        <w:t>По видам дробления выделяются дочерние предприятия, филиалы, представительства, зависимые общества и другие структуры с правом или без права юридического лица.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pacing w:val="-14"/>
          <w:sz w:val="28"/>
          <w:szCs w:val="28"/>
        </w:rPr>
        <w:t>Предприятия могут быть сгруппированы по различным критериям (признакам):</w:t>
      </w:r>
    </w:p>
    <w:p w:rsidR="00A33388" w:rsidRPr="00A33388" w:rsidRDefault="00A33388" w:rsidP="00A33388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По видам производимых товаров и услуг;</w:t>
      </w:r>
    </w:p>
    <w:p w:rsidR="00A33388" w:rsidRPr="00A33388" w:rsidRDefault="00A33388" w:rsidP="00A33388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По приоритетным направлениям деятельности;</w:t>
      </w:r>
    </w:p>
    <w:p w:rsidR="00A33388" w:rsidRPr="00A33388" w:rsidRDefault="00A33388" w:rsidP="00A33388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По степени эффективности производства;</w:t>
      </w:r>
    </w:p>
    <w:p w:rsidR="00A33388" w:rsidRPr="00A33388" w:rsidRDefault="00A33388" w:rsidP="00A33388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По степени специализации;</w:t>
      </w:r>
    </w:p>
    <w:p w:rsidR="00A33388" w:rsidRPr="00A33388" w:rsidRDefault="00A33388" w:rsidP="00A33388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По региональной принадлежности;</w:t>
      </w:r>
    </w:p>
    <w:p w:rsidR="00A33388" w:rsidRPr="00A33388" w:rsidRDefault="00A33388" w:rsidP="00A33388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По организационно-правовым различиям.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участия </w:t>
      </w:r>
      <w:r w:rsidRPr="00A33388">
        <w:rPr>
          <w:rFonts w:ascii="Times New Roman" w:eastAsia="Times New Roman" w:hAnsi="Times New Roman" w:cs="Times New Roman"/>
          <w:sz w:val="28"/>
          <w:szCs w:val="28"/>
        </w:rPr>
        <w:t xml:space="preserve">– это многоступенчатое подчинение одних предприятий другим путем участия в их акционерном капитале (приобретение пакетов акций). Головная компания или предприятие (мать) скупает пакеты акций других компаний (дочерних), которые в сою очередь скупают акции «внучатых» компаний. Применение такой системы дает возможность осуществлять контроль над пирамидой компаний и координировать инновационную, инвестиционную деятельность, </w:t>
      </w:r>
      <w:r w:rsidRPr="00A33388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осуществлять концентрацию капитала и использовать его на приоритетные направления развития, которые не под силу одному предприятию.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Применение данной системы с большой эффективностью можно использовать и в лесопромышленном комплексе Беларуси. К сожалению, положение дел в данном направлении оставляет желать лучшего.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Процесс формирования многоотраслевых предприятий (фирм) в экономике называют </w:t>
      </w:r>
      <w:r w:rsidRPr="00A33388">
        <w:rPr>
          <w:rFonts w:ascii="Times New Roman" w:eastAsia="Times New Roman" w:hAnsi="Times New Roman" w:cs="Times New Roman"/>
          <w:spacing w:val="-14"/>
          <w:sz w:val="28"/>
          <w:szCs w:val="28"/>
          <w:u w:val="single"/>
        </w:rPr>
        <w:t xml:space="preserve">диверсификацией, </w:t>
      </w:r>
      <w:r w:rsidRPr="00A33388">
        <w:rPr>
          <w:rFonts w:ascii="Times New Roman" w:eastAsia="Times New Roman" w:hAnsi="Times New Roman" w:cs="Times New Roman"/>
          <w:spacing w:val="-14"/>
          <w:sz w:val="28"/>
          <w:szCs w:val="28"/>
        </w:rPr>
        <w:t>которая является современной эффективной формой концентрации производства и перелива капитала из одних отраслей в другие, экономически устойчивых предприятий в менее устойчивые. Диверсификация – одно из главных направлений развития и повышения эффективности экономики в развитых государствах (Японии, Германии, США).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 3. </w:t>
      </w:r>
      <w:r w:rsidRPr="00A33388">
        <w:rPr>
          <w:rFonts w:ascii="Times New Roman" w:eastAsia="Times New Roman" w:hAnsi="Times New Roman" w:cs="Times New Roman"/>
          <w:sz w:val="28"/>
          <w:szCs w:val="28"/>
        </w:rPr>
        <w:t>На протяжении всей своей деятельности предприятие как экономическая система точно также как и другие системы (естественные, искусственные, биологические и др.) в своем развитии проходят ряд этапов, основные из которых следующие: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1) возникновение (зарождение);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2) становление;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3) стабильная устойчивая работа;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4) постепенное затухание деятельности;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5) ликвидация.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На каждом из этапов жизненного цикла любой субъект хозяйствования решает свои специфические задачи. Например, на этапе создания необходимо решить следующие задачи: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1) уяснить и сформулировать цель деятельности предприятия;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2) разработать тактику и стратегию развития предприятия;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3) провести технико-экономическое обоснование, т.е. составить грамотный бизнес-план предприятия;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4) определить основные направления экономического развития;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5) определиться с маркетинговой деятельностью;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6) правильно подобрать поставщиков ресурсов и потребителей готовой продукции и др.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На этапе становления следует разработать эффективный экономический механизм, который способствует быстрейшему выходу предприятия на заданные параметры развития.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На этапе стабильной устойчивой работы предприятию, а главное его руководителям и специалистам, нужно знать и грамотно применять целую систему факторов, учет которых обеспечивает устойчивую стабильную работу любого субъекта хозяйствования независимо от формы собственности.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Передовой отечественный и зарубежный опыт выявил и определил системы (блоки) факторов. Основные из них следующие: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>1 блок</w:t>
      </w:r>
      <w:r w:rsidRPr="00A3338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– сосредоточенность предприятий, учреждений и других субъектов хозяйствования на определенном виде деятельности. Это определяет потребность производства тех видов продукции, работ или услуг, которые данный субъект в </w:t>
      </w:r>
      <w:r w:rsidRPr="00A33388">
        <w:rPr>
          <w:rFonts w:ascii="Times New Roman" w:eastAsia="Times New Roman" w:hAnsi="Times New Roman" w:cs="Times New Roman"/>
          <w:spacing w:val="-12"/>
          <w:sz w:val="28"/>
          <w:szCs w:val="28"/>
        </w:rPr>
        <w:lastRenderedPageBreak/>
        <w:t>данных природно-экономических условиях и складывающейся ситуации, может осуществить с наименьшими затратами земельных, трудовых, материально-технических и финансовых ресурсов при соблюдении высокого уровня конкурентоспособности конечных результатов деятельности.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  <w:u w:val="single"/>
        </w:rPr>
        <w:t>2 блок</w:t>
      </w:r>
      <w:r w:rsidRPr="00A33388">
        <w:rPr>
          <w:rFonts w:ascii="Times New Roman" w:eastAsia="Times New Roman" w:hAnsi="Times New Roman" w:cs="Times New Roman"/>
          <w:sz w:val="28"/>
          <w:szCs w:val="28"/>
        </w:rPr>
        <w:t xml:space="preserve"> – создание благоприятных условий хозяйствования, способствующих высокопроизводительному труду персонала от непосредственного производителя до руководителя и ориентация их деятельности на максимальный общий результат и высокий экономический интерес каждого участника технологической цепочки «производство сырья – сбыт готовой продукции». Это достигается, главным образом, через применение эффективного экономического механизма и приемлемых правовых условий жизнедеятельности всех субъектов хозяйствования разных форм собственности.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  <w:u w:val="single"/>
        </w:rPr>
        <w:t>3 блок</w:t>
      </w:r>
      <w:r w:rsidRPr="00A33388">
        <w:rPr>
          <w:rFonts w:ascii="Times New Roman" w:eastAsia="Times New Roman" w:hAnsi="Times New Roman" w:cs="Times New Roman"/>
          <w:sz w:val="28"/>
          <w:szCs w:val="28"/>
        </w:rPr>
        <w:t xml:space="preserve"> – постоянная инновационная деятельность, что предполагает разработку и внедрение всего нового и передового по всем направлениям деятельности предприятия, а именно: совершенствование систем организации производства и мотивации труда персонала, приобретение необходимых ресурсов и сбыт готовой продукции для эффективной работы предприятия, внедрение новой высокопроизводительной техники, передовых технологий на всех стадиях от производства до сбыта продукции, повышение квалификации персонала и его высокую социально-экономическую ответственность за конечные результаты работы; стремление к рациональному сочетанию производства сырья, его максимальная глубокая переработка и реализация продукции, т.е. работа в едином замкнутом цикле.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4 блок</w:t>
      </w:r>
      <w:r w:rsidRPr="00A3338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своевременная и быстрая адаптация субъектов хозяйствования к постоянно меняющейся внутренней и внешней экономической среде деятельности. В современных условиях это ориентация на максимально возможное удовлетворение запросов потребителей в настоящем и прогнозном периодах, т.е. работа на конкретных людей, конкретные регионы, отрасли, государства, а не на абстрактного потребителя и на склад. Имеющийся практический опыт показывает, то предприятие или субъект хозяйствования, который при переходе к рыночным отношениям своевременно сумел адаптироваться, сегодня является финансово устойчивым и производит конкурентоспособную продукцию.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  <w:u w:val="single"/>
        </w:rPr>
        <w:t>5 блок</w:t>
      </w:r>
      <w:r w:rsidRPr="00A33388">
        <w:rPr>
          <w:rFonts w:ascii="Times New Roman" w:eastAsia="Times New Roman" w:hAnsi="Times New Roman" w:cs="Times New Roman"/>
          <w:sz w:val="28"/>
          <w:szCs w:val="28"/>
        </w:rPr>
        <w:t xml:space="preserve"> – гармония, координация действий и учет интересов участников в технологической цепочке «идея – проектная разработка – производство – эксплуатация – утилизация». Это будет способствовать повышению экономического интереса, снижению затрат материальных, трудовых и  финансовых  ресурсов, формированию конкурентоспособных цен и на этой основе производству конкурентоспособной продукции.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 xml:space="preserve">Проблема состоит в том, что находясь на начальном этапе исторически длительного пути перехода к цивилизованным рыночным отношениям, категория «конкуренция» воспринята как стремление вытеснения с рынка товаропроизводителей, работающих по ряду объективных и субъективных  факторов ниже сложившегося среднеотраслевого уровня на данный период </w:t>
      </w:r>
      <w:r w:rsidRPr="00A33388">
        <w:rPr>
          <w:rFonts w:ascii="Times New Roman" w:eastAsia="Times New Roman" w:hAnsi="Times New Roman" w:cs="Times New Roman"/>
          <w:sz w:val="28"/>
          <w:szCs w:val="28"/>
        </w:rPr>
        <w:lastRenderedPageBreak/>
        <w:t>времени. Вынужденный уход таких участников с данного «рынка» в основе своей способствует не повышению эффективности использования всех видов ресурсов, а, наоборот, их снижению. Гармонизация, взаимный учет интересов, взаимопомощь способствуют «подтягиванию» отстающих к средним и высшим результатам предприятий данной отрасли, региона, государства.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pacing w:val="-14"/>
          <w:sz w:val="28"/>
          <w:szCs w:val="28"/>
        </w:rPr>
        <w:t>Конкуренцию и гармонию не следует рассматривать в качестве антиподов, а, наоборот, при их рациональном сочетании можно обеспечить эффективное развитие субъектов хозяйствования, отраслей и экономики государства в целом.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pacing w:val="-12"/>
          <w:sz w:val="28"/>
          <w:szCs w:val="28"/>
        </w:rPr>
        <w:t>Примером гармоничного развития могут служить процессы, протекающие в природе (до тех пор, пока туда не вмешивается человек), а также подходы к гармоничному развитию производств отраслей и экономики в целом передовых государств. Вместе с тем это – философско-экономико-экологическая категория и проблема, требующая глубоких самостоятельных исследований.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Каждое предприятие стремится в любой экономической ситуации больше времени находиться именно на третьей фазе жизненного цикла. Однако в реальной действительности имеется много примеров, когда субъекты хозяйствования по субъективным и объективным причинам становятся финансово несостоятельными. В этой связи возникает вопрос: что делать?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В реальной действительности проводится санация или финансовое оздоровление. Санация – это система мероприятий, которые используются для восстановления платежеспособности и прибыльности данного предприятия. Все мероприятия можно разделить на две группы: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1) финансовые мероприятия по оздоровлению предприятия в целях восстановления его платежеспособности;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2) организационные мероприятия по оздоровлению предприятия в целях восстановления его прибыльности.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На практике, как правило, осуществляется комбинирование финансовых и организационных мероприятий по оздоровлению предприятий.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Различают несколько путей санации: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1) первый путь – замена руководителя и его управленческой команды, доведших предприятие в затруднительное финансовое положение. В случаях, если предприятие является потенциальным банкротом, может осуществляться внешнее управление, назначенное в судебном или внесудебном порядке. Антикризисный управляющий работает по контракту с собственником или назначается собранием кредиторов и выполняет задачу обеспечить финансовое оздоровление или подготовить предприятие к ликвидации.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2) второй путь – продажа по суду и по соглашению кредиторов. При продаже экономически несостоятельного предприятия оно сохраняется в качестве действующего, но меняются собственники.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3) третий путь – обмен долгов на акции.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lastRenderedPageBreak/>
        <w:t>4) четвертый путь – привлечение инвестиций и выплаты кредиторам из будущих доходов предприятия.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5) пятый путь – уступка требований третьим лицам, т.е. покупка долгов с последующей перепродажей за определенный процент со сделки.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Если санация не принесла ожидаемых результатов, то проводится процедура банкротства.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Банкротство – это удостоверенная судом полная неспособность субъекта хозяйствования оплатить свои финансовые обязательства. Рассматривается как экономическая и юридическая ликвидация должника, продажа имущества и расчеты с кредиторами.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pacing w:val="-18"/>
          <w:sz w:val="28"/>
          <w:szCs w:val="28"/>
        </w:rPr>
        <w:t>В практике имеют случаи ложного банкротства, что означает предоставление заведомо ложных документов об объявлении предприятия неплатежеспособным (банкротом).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Злостное банкротство – это умышленное утаивание своей несостоятельности. 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Ликвидация предприятия – прекращение его деятельности и исключение из реестра государственной регистрации. Осуществляется по решению собственника имущества или решению суда.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Санация, банкротство и другие процедуры – факты сами по себе негативные. Чтобы их избежать, субъект хозяйствования должен производить конкурентоспособную по цене и качеству продукцию в широком ассортименте. В мире имеется много примеров эффективной работы предприятия независимо от сложившейся экономической ситуации. Например, в Японии понятие «растраты» чего-либо считается грехом. Это на много больше, чем бережливость. Данное религиозное понятие, которому подчинено все течение жизни в Японии. Например, японцев поражают размеры и плотность бумаги для печати наших газет. Они не воспринимают, как можно выбрасывать газеты после их беглого просмотра. Поэтому совсем неслучайно Япония является вторым в мире производителем бумаги, выпуская ее 190 млн. т. Занимает второе место в мире по вторичному использованию бумаги.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В Японии нет понятия ОТК готовой продукции, так как общая философия, свойственная всей промышленности, заключается в том, что каждый сам себе контролер, и, следовательно, продукция производится без брака на каждом этапе. Японские производители оборудования предпочитают выпустить качественную продукцию, так как это дешевле, чем послепродажное обслуживание недоброкачественной техники.</w:t>
      </w:r>
    </w:p>
    <w:p w:rsidR="00A33388" w:rsidRPr="00A33388" w:rsidRDefault="00A33388" w:rsidP="00A33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pacing w:val="-14"/>
          <w:sz w:val="28"/>
          <w:szCs w:val="28"/>
        </w:rPr>
        <w:t>Опыт Японии и других экономически развитых государств следует изучать и с учетом специфики наших предприятий ускоренно внедрять в производство</w:t>
      </w:r>
      <w:r w:rsidRPr="00A333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388" w:rsidRPr="00A33388" w:rsidRDefault="00A33388" w:rsidP="00A333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3388" w:rsidRPr="00A33388" w:rsidRDefault="00A33388" w:rsidP="00A333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b/>
          <w:sz w:val="28"/>
          <w:szCs w:val="28"/>
        </w:rPr>
        <w:t>Вопросы для повторения:</w:t>
      </w:r>
    </w:p>
    <w:p w:rsidR="00A33388" w:rsidRPr="00A33388" w:rsidRDefault="00A33388" w:rsidP="00A333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3388" w:rsidRPr="00A33388" w:rsidRDefault="00A33388" w:rsidP="00A33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1.Лесохозяйственные предприятия. Сущность.</w:t>
      </w:r>
    </w:p>
    <w:p w:rsidR="00A33388" w:rsidRPr="00A33388" w:rsidRDefault="00A33388" w:rsidP="00A33388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33388">
        <w:rPr>
          <w:rFonts w:ascii="Times New Roman" w:eastAsia="Times New Roman" w:hAnsi="Times New Roman" w:cs="Times New Roman"/>
          <w:spacing w:val="-6"/>
          <w:sz w:val="28"/>
          <w:szCs w:val="28"/>
        </w:rPr>
        <w:t>Организационно-производственная структура лесопромышленного комплекса.</w:t>
      </w:r>
    </w:p>
    <w:p w:rsidR="00A33388" w:rsidRPr="00A33388" w:rsidRDefault="00A33388" w:rsidP="00A33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3.Классификация и типы предприятий.</w:t>
      </w:r>
    </w:p>
    <w:p w:rsidR="00A33388" w:rsidRPr="00A33388" w:rsidRDefault="00A33388" w:rsidP="00A33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t>4.Жизненный цикл предприятия. Основные этапы. Санация.</w:t>
      </w:r>
    </w:p>
    <w:p w:rsidR="00A33388" w:rsidRPr="00A33388" w:rsidRDefault="00A33388" w:rsidP="00A33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388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Pr="00A33388">
        <w:rPr>
          <w:rFonts w:ascii="Times New Roman" w:eastAsia="Times New Roman" w:hAnsi="Times New Roman" w:cs="Times New Roman"/>
          <w:spacing w:val="-12"/>
          <w:sz w:val="28"/>
          <w:szCs w:val="28"/>
        </w:rPr>
        <w:t>Основные блоки факторов, определяющих устойчивое развитие предприятия</w:t>
      </w:r>
      <w:r w:rsidRPr="00A333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388" w:rsidRPr="00A33388" w:rsidRDefault="00A33388" w:rsidP="00A333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686E" w:rsidRDefault="00A33388" w:rsidP="00A33388">
      <w:r w:rsidRPr="00A3338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sectPr w:rsidR="0066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E7EDC"/>
    <w:multiLevelType w:val="hybridMultilevel"/>
    <w:tmpl w:val="174E60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33388"/>
    <w:rsid w:val="0066686E"/>
    <w:rsid w:val="00A3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3640</Words>
  <Characters>20749</Characters>
  <Application>Microsoft Office Word</Application>
  <DocSecurity>0</DocSecurity>
  <Lines>172</Lines>
  <Paragraphs>48</Paragraphs>
  <ScaleCrop>false</ScaleCrop>
  <Company/>
  <LinksUpToDate>false</LinksUpToDate>
  <CharactersWithSpaces>24341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2015-02-16T09:13:00Z</dcterms:created>
  <dcterms:modified xsi:type="dcterms:W3CDTF">2015-02-16T09:14:00Z</dcterms:modified>
</cp:coreProperties>
</file>